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B8" w:rsidRPr="00501CB8" w:rsidRDefault="00501CB8" w:rsidP="00501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bookmarkStart w:id="0" w:name="bookmark0"/>
      <w:r w:rsidRPr="00501CB8">
        <w:rPr>
          <w:rFonts w:ascii="Times New Roman" w:hAnsi="Times New Roman"/>
          <w:b/>
          <w:sz w:val="24"/>
          <w:szCs w:val="24"/>
        </w:rPr>
        <w:t>МИНИСТЕРСТВО ОБРАЗОВАНИЯ, НАУКИ И МОЛОДЕЖНОЙ ПОЛИТИКИ НИЖЕГОРОДСКОЙ ОБЛАСТИ</w:t>
      </w:r>
    </w:p>
    <w:p w:rsidR="00501CB8" w:rsidRPr="00501CB8" w:rsidRDefault="00501CB8" w:rsidP="00501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501CB8">
        <w:rPr>
          <w:rFonts w:ascii="Times New Roman" w:hAnsi="Times New Roman"/>
          <w:b/>
          <w:sz w:val="24"/>
          <w:szCs w:val="24"/>
        </w:rPr>
        <w:t>ГОСУДАРСТВЕННОЕ БЮДЖЕТНОЕ ОБРАЗОВАТЕЛЬНОЕ УЧРЕЖДЕНИЕ</w:t>
      </w:r>
    </w:p>
    <w:p w:rsidR="00501CB8" w:rsidRPr="00501CB8" w:rsidRDefault="00501CB8" w:rsidP="00501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501CB8">
        <w:rPr>
          <w:rFonts w:ascii="Times New Roman" w:hAnsi="Times New Roman"/>
          <w:b/>
          <w:sz w:val="24"/>
          <w:szCs w:val="24"/>
        </w:rPr>
        <w:t>«УРЕНСКИЙ ИНДУСТРИАЛЬНО-ЭНЕРГЕТИЧЕСКИЙ ТЕХНИКУМ»</w:t>
      </w:r>
    </w:p>
    <w:p w:rsidR="00501CB8" w:rsidRPr="002F3129" w:rsidRDefault="00501CB8" w:rsidP="00501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501CB8">
        <w:rPr>
          <w:rFonts w:ascii="Times New Roman" w:hAnsi="Times New Roman"/>
          <w:b/>
          <w:sz w:val="24"/>
          <w:szCs w:val="24"/>
        </w:rPr>
        <w:t>(ГБПОУ УИЭТ)</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6C6821" w:rsidRDefault="006C6821"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01CB8" w:rsidRDefault="00501CB8"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01CB8" w:rsidRPr="001C1776" w:rsidRDefault="00501CB8"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547A9B" w:rsidRPr="0016793B" w:rsidRDefault="006C6821" w:rsidP="00547A9B">
      <w:pPr>
        <w:spacing w:line="360" w:lineRule="auto"/>
        <w:jc w:val="center"/>
        <w:rPr>
          <w:rFonts w:ascii="Times New Roman" w:hAnsi="Times New Roman"/>
          <w:b/>
          <w:sz w:val="28"/>
          <w:szCs w:val="28"/>
        </w:rPr>
      </w:pPr>
      <w:r>
        <w:rPr>
          <w:rFonts w:ascii="Times New Roman" w:hAnsi="Times New Roman"/>
          <w:b/>
          <w:bCs/>
          <w:caps/>
          <w:sz w:val="28"/>
          <w:szCs w:val="28"/>
        </w:rPr>
        <w:t>44.02.01 ДОШКОЛЬНОЕ ОБРАЗОВАНИЕ</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FA2719">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661522" w:rsidP="00547A9B">
      <w:pPr>
        <w:pStyle w:val="Default"/>
        <w:spacing w:line="360" w:lineRule="auto"/>
        <w:jc w:val="center"/>
        <w:rPr>
          <w:color w:val="auto"/>
          <w:sz w:val="28"/>
          <w:szCs w:val="28"/>
        </w:rPr>
      </w:pPr>
      <w:r>
        <w:rPr>
          <w:color w:val="auto"/>
          <w:sz w:val="28"/>
          <w:szCs w:val="28"/>
        </w:rPr>
        <w:t>углубленный</w:t>
      </w:r>
      <w:r w:rsidR="00547A9B" w:rsidRPr="001C1776">
        <w:rPr>
          <w:color w:val="auto"/>
          <w:sz w:val="28"/>
          <w:szCs w:val="28"/>
        </w:rPr>
        <w:t xml:space="preserve">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367720">
        <w:rPr>
          <w:rFonts w:ascii="Times New Roman" w:hAnsi="Times New Roman"/>
          <w:sz w:val="28"/>
          <w:szCs w:val="28"/>
        </w:rPr>
        <w:t>2</w:t>
      </w:r>
      <w:r w:rsidR="00395D18">
        <w:rPr>
          <w:rFonts w:ascii="Times New Roman" w:hAnsi="Times New Roman"/>
          <w:sz w:val="28"/>
          <w:szCs w:val="28"/>
        </w:rPr>
        <w:t>0</w:t>
      </w:r>
      <w:r>
        <w:rPr>
          <w:rFonts w:ascii="Times New Roman" w:hAnsi="Times New Roman"/>
          <w:sz w:val="28"/>
          <w:szCs w:val="28"/>
        </w:rPr>
        <w:t xml:space="preserve"> г.</w:t>
      </w:r>
    </w:p>
    <w:p w:rsidR="00547A9B" w:rsidRPr="001C1776" w:rsidRDefault="00547A9B" w:rsidP="00547A9B">
      <w:pPr>
        <w:pStyle w:val="10"/>
        <w:shd w:val="clear" w:color="auto" w:fill="auto"/>
        <w:spacing w:after="0" w:line="360" w:lineRule="auto"/>
        <w:ind w:firstLine="709"/>
        <w:rPr>
          <w:sz w:val="28"/>
          <w:szCs w:val="28"/>
        </w:rPr>
      </w:pPr>
      <w:r w:rsidRPr="001C1776">
        <w:rPr>
          <w:sz w:val="28"/>
          <w:szCs w:val="28"/>
        </w:rPr>
        <w:lastRenderedPageBreak/>
        <w:t>Общие положения</w:t>
      </w:r>
      <w:bookmarkEnd w:id="0"/>
    </w:p>
    <w:p w:rsidR="00547A9B" w:rsidRPr="001C1776" w:rsidRDefault="00547A9B" w:rsidP="00547A9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в ред. Приказов Минобрнауки РФ от 31.01.2014 N 74, от 17.11.2017 N 1138</w:t>
      </w:r>
      <w:r w:rsidRPr="001C1776">
        <w:rPr>
          <w:sz w:val="28"/>
          <w:szCs w:val="28"/>
        </w:rPr>
        <w:t>);</w:t>
      </w:r>
    </w:p>
    <w:p w:rsidR="006C6821" w:rsidRPr="006C6821" w:rsidRDefault="006C6821" w:rsidP="006C6821">
      <w:pPr>
        <w:pStyle w:val="20"/>
        <w:numPr>
          <w:ilvl w:val="0"/>
          <w:numId w:val="2"/>
        </w:numPr>
        <w:shd w:val="clear" w:color="auto" w:fill="auto"/>
        <w:tabs>
          <w:tab w:val="left" w:pos="1435"/>
        </w:tabs>
        <w:spacing w:before="0" w:line="360" w:lineRule="auto"/>
        <w:ind w:firstLine="709"/>
        <w:rPr>
          <w:sz w:val="28"/>
          <w:szCs w:val="28"/>
        </w:rPr>
      </w:pPr>
      <w:r w:rsidRPr="006C6821">
        <w:rPr>
          <w:sz w:val="28"/>
          <w:szCs w:val="28"/>
        </w:rPr>
        <w:t>Федеральным государственным образовательным стандартом среднего профессионального образования по специальности 44.02.01 Дошкольное образование утвержденного приказом Министерства образования и науки РФ от 27 октября 2014 г. N 1351;</w:t>
      </w:r>
    </w:p>
    <w:p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rsidR="00547A9B" w:rsidRPr="001C1776"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6C6821" w:rsidRPr="006C6821">
        <w:rPr>
          <w:sz w:val="28"/>
          <w:szCs w:val="28"/>
        </w:rPr>
        <w:t>44.02.01 Дошкольное образование</w:t>
      </w:r>
      <w:r w:rsidR="006C6821">
        <w:rPr>
          <w:sz w:val="28"/>
          <w:szCs w:val="28"/>
        </w:rPr>
        <w:t>.</w:t>
      </w:r>
    </w:p>
    <w:p w:rsidR="00547A9B" w:rsidRPr="001C1776" w:rsidRDefault="00547A9B" w:rsidP="0016793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6C6821" w:rsidRPr="006C6821">
        <w:rPr>
          <w:sz w:val="28"/>
          <w:szCs w:val="28"/>
        </w:rPr>
        <w:t>44.02.01 Дошкольное образование</w:t>
      </w:r>
      <w:r w:rsidR="006C6821">
        <w:rPr>
          <w:sz w:val="28"/>
          <w:szCs w:val="28"/>
        </w:rPr>
        <w:t>.</w:t>
      </w:r>
    </w:p>
    <w:p w:rsidR="00A40DA5" w:rsidRPr="00B049C9" w:rsidRDefault="00A40DA5" w:rsidP="00A40DA5">
      <w:pPr>
        <w:pStyle w:val="20"/>
        <w:numPr>
          <w:ilvl w:val="0"/>
          <w:numId w:val="1"/>
        </w:numPr>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r w:rsidRPr="00B049C9">
        <w:t xml:space="preserve"> </w:t>
      </w:r>
      <w:r w:rsidRPr="00B049C9">
        <w:rPr>
          <w:sz w:val="28"/>
          <w:szCs w:val="28"/>
        </w:rPr>
        <w:t>OК 1. Понимать сущность и социальную значимость своей будущей профессии, проявлять к ней устойчивый интерес.</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3. Оценивать риски и принимать решения в нестандартных ситуациях.</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5. Использовать информационно-коммуникационные технологии для совершенствования профессиональной деятельности.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6. Работать в коллективе и команде, взаимодействовать с руководством, коллегами и социальными партнерами.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A40DA5" w:rsidRDefault="00A40DA5" w:rsidP="00A40DA5">
      <w:pPr>
        <w:pStyle w:val="20"/>
        <w:tabs>
          <w:tab w:val="left" w:pos="347"/>
        </w:tabs>
        <w:spacing w:before="0" w:line="360" w:lineRule="auto"/>
        <w:ind w:firstLine="0"/>
        <w:rPr>
          <w:sz w:val="28"/>
          <w:szCs w:val="28"/>
        </w:rPr>
      </w:pPr>
      <w:r w:rsidRPr="00B049C9">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9. Осуществлять профессиональную деятельность в условиях обновления ее целей, содержания, смены технологий.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10. Осуществлять профилактику травматизма, обеспечивать охрану жизни и здоровья детей.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ОК 11. Строить профессиональную деятельность с соблюдением регулирующих ее правовых норм.</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1.1. Планировать мероприятия, направленные на укрепление здоровья ребенка и его физическое развитие.</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1.2. Проводить режимные моменты в соответствии с возрастом.</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1.3. Проводить мероприятия по физическому воспитанию в процессе выполнения двигательного режима.</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 xml:space="preserve">ПК 2.1. Планировать различные виды деятельности и общения детей в </w:t>
      </w:r>
      <w:r w:rsidRPr="00B049C9">
        <w:rPr>
          <w:sz w:val="28"/>
          <w:szCs w:val="28"/>
        </w:rPr>
        <w:lastRenderedPageBreak/>
        <w:t>течение дня.</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2.2. Организовывать различные игры с детьми раннего и дошкольного возраста.</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2.3. Организовывать посильный труд и самообслуживание.</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2.4. Организовывать общение детей.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2.5. Организовывать продуктивную деятельность дошкольников (рисование, лепка, аппликация, конструирование).</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2.6. Организовывать и проводить праздники и развлечения для детей раннего и дошкольного возраста.</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2.7. Анализировать процесс и результаты организации различных видов деятельности и общения детей.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3.1. Определять цели и задачи, планировать занятия с детьми дошкольного возраста.</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3.2. Проводить занятия с детьми дошкольного возраста.</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3.3. Осуществлять педагогический контроль, оценивать процесс и результаты обучения дошкольников.</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3.4. Анализировать занятия.</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3.5. Вести документацию, обеспечивающую организацию занятий.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4.1. Определять цели, задачи и планировать работу с родителями.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4.4. Оценивать и анализировать результаты работы с родителями, корректировать процесс взаимодействия с ними.</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4.5. Координировать деятельность сотрудников образовательной организации, работающих с группой.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5.1. Разрабатывать методические материалы на основе примерных с учетом особенностей возраста, группы и отдельных воспитанников.</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5.2. Создавать в группе предметно-развивающую среду.</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lastRenderedPageBreak/>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A40DA5" w:rsidRDefault="00A40DA5" w:rsidP="00A40DA5">
      <w:pPr>
        <w:pStyle w:val="20"/>
        <w:tabs>
          <w:tab w:val="left" w:pos="347"/>
        </w:tabs>
        <w:spacing w:before="0" w:line="360" w:lineRule="auto"/>
        <w:ind w:firstLine="0"/>
        <w:rPr>
          <w:sz w:val="28"/>
          <w:szCs w:val="28"/>
        </w:rPr>
      </w:pPr>
      <w:r w:rsidRPr="00B049C9">
        <w:rPr>
          <w:sz w:val="28"/>
          <w:szCs w:val="28"/>
        </w:rPr>
        <w:t>ПК 5.4. Оформлять педагогические разработки в виде отчетов, рефератов, выступлений.</w:t>
      </w:r>
    </w:p>
    <w:p w:rsidR="00A40DA5" w:rsidRPr="00B049C9" w:rsidRDefault="00A40DA5" w:rsidP="00A40DA5">
      <w:pPr>
        <w:pStyle w:val="20"/>
        <w:tabs>
          <w:tab w:val="left" w:pos="347"/>
        </w:tabs>
        <w:spacing w:before="0" w:line="360" w:lineRule="auto"/>
        <w:ind w:firstLine="0"/>
        <w:rPr>
          <w:sz w:val="28"/>
          <w:szCs w:val="28"/>
        </w:rPr>
      </w:pPr>
      <w:r w:rsidRPr="00B049C9">
        <w:rPr>
          <w:sz w:val="28"/>
          <w:szCs w:val="28"/>
        </w:rPr>
        <w:t>ПК 5.5. Участвовать в исследовательской и проектной деятельности в области дошкольного образования.</w:t>
      </w:r>
    </w:p>
    <w:p w:rsidR="00547A9B" w:rsidRDefault="00547A9B" w:rsidP="00547A9B">
      <w:pPr>
        <w:pStyle w:val="20"/>
        <w:shd w:val="clear" w:color="auto" w:fill="auto"/>
        <w:tabs>
          <w:tab w:val="left" w:pos="347"/>
        </w:tabs>
        <w:spacing w:before="0" w:line="360" w:lineRule="auto"/>
        <w:ind w:firstLine="709"/>
        <w:rPr>
          <w:sz w:val="28"/>
          <w:szCs w:val="28"/>
        </w:rPr>
      </w:pPr>
    </w:p>
    <w:p w:rsidR="00B7242D" w:rsidRDefault="00B7242D">
      <w:pPr>
        <w:rPr>
          <w:rFonts w:ascii="Times New Roman" w:eastAsia="Times New Roman" w:hAnsi="Times New Roman"/>
          <w:b/>
          <w:sz w:val="28"/>
          <w:szCs w:val="28"/>
        </w:rPr>
      </w:pPr>
      <w:r>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547A9B" w:rsidRPr="001C1776" w:rsidRDefault="00547A9B" w:rsidP="00547A9B">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xml:space="preserve">– с </w:t>
      </w:r>
      <w:r w:rsidR="00395D18">
        <w:rPr>
          <w:rStyle w:val="31"/>
          <w:sz w:val="28"/>
          <w:szCs w:val="28"/>
        </w:rPr>
        <w:t>20</w:t>
      </w:r>
      <w:r w:rsidRPr="0056489B">
        <w:rPr>
          <w:rStyle w:val="31"/>
          <w:sz w:val="28"/>
          <w:szCs w:val="28"/>
        </w:rPr>
        <w:t xml:space="preserve">.05. по </w:t>
      </w:r>
      <w:r w:rsidR="00395D18">
        <w:rPr>
          <w:rStyle w:val="31"/>
          <w:sz w:val="28"/>
          <w:szCs w:val="28"/>
        </w:rPr>
        <w:t>16</w:t>
      </w:r>
      <w:r w:rsidRPr="0056489B">
        <w:rPr>
          <w:rStyle w:val="31"/>
          <w:sz w:val="28"/>
          <w:szCs w:val="28"/>
        </w:rPr>
        <w:t>.06.20</w:t>
      </w:r>
      <w:r w:rsidR="0056489B" w:rsidRPr="0056489B">
        <w:rPr>
          <w:rStyle w:val="31"/>
          <w:sz w:val="28"/>
          <w:szCs w:val="28"/>
        </w:rPr>
        <w:t>2</w:t>
      </w:r>
      <w:r w:rsidR="00395D18">
        <w:rPr>
          <w:rStyle w:val="31"/>
          <w:sz w:val="28"/>
          <w:szCs w:val="28"/>
        </w:rPr>
        <w:t>4</w:t>
      </w:r>
      <w:r w:rsidRPr="0056489B">
        <w:rPr>
          <w:rStyle w:val="31"/>
          <w:sz w:val="28"/>
          <w:szCs w:val="28"/>
        </w:rPr>
        <w:t xml:space="preserve"> г.</w:t>
      </w:r>
      <w:r w:rsidR="0056489B" w:rsidRPr="0056489B">
        <w:rPr>
          <w:rStyle w:val="31"/>
          <w:sz w:val="28"/>
          <w:szCs w:val="28"/>
        </w:rPr>
        <w:t xml:space="preserve"> </w:t>
      </w:r>
      <w:r w:rsidRPr="0056489B">
        <w:rPr>
          <w:rStyle w:val="31"/>
          <w:sz w:val="28"/>
          <w:szCs w:val="28"/>
        </w:rPr>
        <w:t>(4</w:t>
      </w:r>
      <w:r w:rsidRPr="001C1776">
        <w:rPr>
          <w:rStyle w:val="31"/>
          <w:sz w:val="28"/>
          <w:szCs w:val="28"/>
        </w:rPr>
        <w:t xml:space="preserve"> недели)</w:t>
      </w:r>
      <w:r>
        <w:rPr>
          <w:rStyle w:val="31"/>
          <w:sz w:val="28"/>
          <w:szCs w:val="28"/>
        </w:rPr>
        <w:t>.</w:t>
      </w:r>
    </w:p>
    <w:p w:rsidR="00547A9B" w:rsidRPr="001C1776" w:rsidRDefault="00547A9B" w:rsidP="00547A9B">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с 1</w:t>
      </w:r>
      <w:r w:rsidR="00395D18">
        <w:rPr>
          <w:rStyle w:val="31"/>
          <w:sz w:val="28"/>
          <w:szCs w:val="28"/>
        </w:rPr>
        <w:t>7</w:t>
      </w:r>
      <w:r w:rsidRPr="0056489B">
        <w:rPr>
          <w:rStyle w:val="31"/>
          <w:sz w:val="28"/>
          <w:szCs w:val="28"/>
        </w:rPr>
        <w:t xml:space="preserve">.06. по </w:t>
      </w:r>
      <w:r w:rsidR="00395D18">
        <w:rPr>
          <w:rStyle w:val="31"/>
          <w:sz w:val="28"/>
          <w:szCs w:val="28"/>
        </w:rPr>
        <w:t>30</w:t>
      </w:r>
      <w:r w:rsidRPr="0056489B">
        <w:rPr>
          <w:rStyle w:val="31"/>
          <w:sz w:val="28"/>
          <w:szCs w:val="28"/>
        </w:rPr>
        <w:t>.06.20</w:t>
      </w:r>
      <w:r w:rsidR="0056489B" w:rsidRPr="0056489B">
        <w:rPr>
          <w:rStyle w:val="31"/>
          <w:sz w:val="28"/>
          <w:szCs w:val="28"/>
        </w:rPr>
        <w:t>2</w:t>
      </w:r>
      <w:r w:rsidR="00395D18">
        <w:rPr>
          <w:rStyle w:val="31"/>
          <w:sz w:val="28"/>
          <w:szCs w:val="28"/>
        </w:rPr>
        <w:t>4</w:t>
      </w:r>
      <w:r w:rsidRPr="0056489B">
        <w:rPr>
          <w:rStyle w:val="31"/>
          <w:sz w:val="28"/>
          <w:szCs w:val="28"/>
        </w:rPr>
        <w:t xml:space="preserve"> г.</w:t>
      </w:r>
      <w:r w:rsidR="0056489B" w:rsidRPr="0056489B">
        <w:rPr>
          <w:rStyle w:val="31"/>
          <w:sz w:val="28"/>
          <w:szCs w:val="28"/>
        </w:rPr>
        <w:t xml:space="preserve"> </w:t>
      </w:r>
      <w:r w:rsidRPr="0056489B">
        <w:rPr>
          <w:rStyle w:val="31"/>
          <w:sz w:val="28"/>
          <w:szCs w:val="28"/>
        </w:rPr>
        <w:t>(2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дипломная работа в бумажной форме, электронная презентация, отзыв руководителя на дипломную  работу, рецензия на дипломную  работу.</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должны соответствовать современным требованиям развития отрасли</w:t>
      </w:r>
      <w:r w:rsidR="0016793B">
        <w:rPr>
          <w:sz w:val="28"/>
          <w:szCs w:val="28"/>
        </w:rPr>
        <w:t xml:space="preserve"> </w:t>
      </w:r>
      <w:r w:rsidR="006C6821" w:rsidRPr="006C6821">
        <w:rPr>
          <w:sz w:val="28"/>
          <w:szCs w:val="28"/>
        </w:rPr>
        <w:t>дошкольного образования</w:t>
      </w:r>
      <w:r w:rsidRPr="006C6821">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AB40F0"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AB40F0" w:rsidRPr="001C1776">
        <w:rPr>
          <w:sz w:val="28"/>
          <w:szCs w:val="28"/>
        </w:rPr>
        <w:t>учебно</w:t>
      </w:r>
      <w:r w:rsidR="00AB40F0">
        <w:rPr>
          <w:sz w:val="28"/>
          <w:szCs w:val="28"/>
        </w:rPr>
        <w:t>й</w:t>
      </w:r>
      <w:r w:rsidR="00AB40F0" w:rsidRPr="001C1776">
        <w:rPr>
          <w:sz w:val="28"/>
          <w:szCs w:val="28"/>
        </w:rPr>
        <w:t xml:space="preserve"> работе</w:t>
      </w:r>
      <w:r w:rsidRPr="001C1776">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AB40F0"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proofErr w:type="gramStart"/>
      <w:r w:rsidRPr="001C1776">
        <w:rPr>
          <w:sz w:val="28"/>
          <w:szCs w:val="28"/>
        </w:rPr>
        <w:t>дипломных  работ</w:t>
      </w:r>
      <w:proofErr w:type="gramEnd"/>
      <w:r w:rsidRPr="001C1776">
        <w:rPr>
          <w:sz w:val="28"/>
          <w:szCs w:val="28"/>
        </w:rPr>
        <w:t xml:space="preserve"> осуществляет заместитель директора по учебно</w:t>
      </w:r>
      <w:r w:rsidR="00A42DDE">
        <w:rPr>
          <w:sz w:val="28"/>
          <w:szCs w:val="28"/>
        </w:rPr>
        <w:t>й</w:t>
      </w:r>
      <w:r w:rsidRPr="001C1776">
        <w:rPr>
          <w:sz w:val="28"/>
          <w:szCs w:val="28"/>
        </w:rPr>
        <w:t xml:space="preserve">  работе.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AB40F0"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AB40F0"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A55D7C">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AB40F0"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AB40F0"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proofErr w:type="gramStart"/>
      <w:r w:rsidRPr="001C1776">
        <w:rPr>
          <w:sz w:val="28"/>
          <w:szCs w:val="28"/>
        </w:rPr>
        <w:t>дипломную  работу</w:t>
      </w:r>
      <w:proofErr w:type="gramEnd"/>
      <w:r w:rsidRPr="001C1776">
        <w:rPr>
          <w:sz w:val="28"/>
          <w:szCs w:val="28"/>
        </w:rPr>
        <w:t xml:space="preserve">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AB40F0"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A55D7C"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rsidR="002F3129" w:rsidRPr="006D7662" w:rsidRDefault="002F3129" w:rsidP="002F3129">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F3129" w:rsidRPr="002C587A" w:rsidRDefault="002F3129" w:rsidP="002F3129">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2F3129" w:rsidRPr="002C587A" w:rsidRDefault="002F3129" w:rsidP="002F312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2F3129" w:rsidRPr="001C1776" w:rsidRDefault="002F3129" w:rsidP="002F3129">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2F3129" w:rsidRPr="001C1776" w:rsidRDefault="002F3129" w:rsidP="002F3129">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2F3129" w:rsidRPr="001C1776" w:rsidRDefault="002F3129" w:rsidP="002F3129">
      <w:pPr>
        <w:pStyle w:val="20"/>
        <w:numPr>
          <w:ilvl w:val="1"/>
          <w:numId w:val="12"/>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2F3129" w:rsidRDefault="002F3129" w:rsidP="002F3129">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2F3129" w:rsidRDefault="002F3129" w:rsidP="002F3129">
      <w:pPr>
        <w:pStyle w:val="20"/>
        <w:numPr>
          <w:ilvl w:val="1"/>
          <w:numId w:val="12"/>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2F3129" w:rsidRDefault="002F3129" w:rsidP="002F3129">
      <w:pPr>
        <w:pStyle w:val="20"/>
        <w:numPr>
          <w:ilvl w:val="1"/>
          <w:numId w:val="12"/>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2F3129" w:rsidRDefault="002F3129" w:rsidP="002F3129">
      <w:pPr>
        <w:pStyle w:val="20"/>
        <w:numPr>
          <w:ilvl w:val="1"/>
          <w:numId w:val="12"/>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2F3129" w:rsidRPr="002C587A" w:rsidRDefault="002F3129" w:rsidP="002F3129">
      <w:pPr>
        <w:pStyle w:val="20"/>
        <w:numPr>
          <w:ilvl w:val="1"/>
          <w:numId w:val="12"/>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w:t>
      </w:r>
      <w:r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547A9B" w:rsidRPr="001C1776" w:rsidRDefault="00547A9B" w:rsidP="00547A9B">
      <w:pPr>
        <w:pStyle w:val="20"/>
        <w:shd w:val="clear" w:color="auto" w:fill="auto"/>
        <w:tabs>
          <w:tab w:val="left" w:pos="866"/>
        </w:tabs>
        <w:spacing w:before="0" w:line="360" w:lineRule="auto"/>
        <w:ind w:left="1125" w:firstLine="0"/>
        <w:rPr>
          <w:sz w:val="28"/>
          <w:szCs w:val="28"/>
        </w:rPr>
      </w:pPr>
      <w:bookmarkStart w:id="6" w:name="_GoBack"/>
      <w:bookmarkEnd w:id="6"/>
    </w:p>
    <w:p w:rsidR="003966B7" w:rsidRDefault="003966B7">
      <w:pPr>
        <w:rPr>
          <w:rFonts w:ascii="Times New Roman" w:eastAsia="Times New Roman" w:hAnsi="Times New Roman"/>
          <w:sz w:val="28"/>
          <w:szCs w:val="28"/>
        </w:rPr>
      </w:pPr>
      <w:r>
        <w:rPr>
          <w:sz w:val="28"/>
          <w:szCs w:val="28"/>
        </w:rPr>
        <w:br w:type="page"/>
      </w:r>
    </w:p>
    <w:p w:rsidR="003966B7" w:rsidRDefault="003966B7" w:rsidP="003966B7">
      <w:pPr>
        <w:pStyle w:val="20"/>
        <w:shd w:val="clear" w:color="auto" w:fill="auto"/>
        <w:spacing w:before="0" w:line="360" w:lineRule="auto"/>
        <w:ind w:firstLine="709"/>
        <w:jc w:val="right"/>
        <w:rPr>
          <w:sz w:val="28"/>
          <w:szCs w:val="28"/>
        </w:rPr>
      </w:pPr>
      <w:r>
        <w:rPr>
          <w:sz w:val="28"/>
          <w:szCs w:val="28"/>
        </w:rPr>
        <w:lastRenderedPageBreak/>
        <w:t>Приложение 1</w:t>
      </w:r>
    </w:p>
    <w:p w:rsidR="003966B7" w:rsidRPr="001C1776" w:rsidRDefault="003966B7" w:rsidP="003966B7">
      <w:pPr>
        <w:pStyle w:val="20"/>
        <w:shd w:val="clear" w:color="auto" w:fill="auto"/>
        <w:spacing w:before="0" w:line="360" w:lineRule="auto"/>
        <w:ind w:firstLine="709"/>
        <w:jc w:val="center"/>
        <w:rPr>
          <w:sz w:val="28"/>
          <w:szCs w:val="28"/>
        </w:rPr>
      </w:pPr>
      <w:r>
        <w:rPr>
          <w:sz w:val="28"/>
          <w:szCs w:val="28"/>
        </w:rPr>
        <w:t>Примерный перечень тем ВКР</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Педагогические условия формирования физических качеств у старших дошкольников.</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Роль подвижных игр в физическом развитии детей младшего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Развитие быстроты и ловкости у детей старшего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Использование физического оборудования в повышении самостоятельной двигательной активности детей старшего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Формирование правильной осанки у детей старшего дошкольного возраста в условиях дошкольного образовательного учреждения.</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Использование подвижных игр при обучении прыжкам в дошкольном возрасте.</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Организация физкультурных занятий на воздухе с детьми старшего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Роль физических упражнений и подвижных игр на открытом воздухе в развитии детей старшего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Развитие выносливости у детей старшего дошкольного возраста в беговых упражнениях.</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Развитие коммуникативных навыков у детей старшего дошкольного возраста средствами театрализованной деятельности.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 xml:space="preserve">Развитие выразительности речи у старших дошкольников в процессе </w:t>
      </w:r>
      <w:proofErr w:type="spellStart"/>
      <w:r w:rsidRPr="006905D4">
        <w:rPr>
          <w:sz w:val="26"/>
          <w:szCs w:val="26"/>
        </w:rPr>
        <w:t>игрдраматизаций</w:t>
      </w:r>
      <w:proofErr w:type="spellEnd"/>
      <w:r w:rsidRPr="006905D4">
        <w:rPr>
          <w:sz w:val="26"/>
          <w:szCs w:val="26"/>
        </w:rPr>
        <w:t>.</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Дидактическая игра как средство формирования знаний о растениях у детей старшего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Конструирование из бумаги на занятиях ручным трудом как средство развития пространственных представлений у старших дошкольников.</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Народная игра как средство эстетического воспитания дошкольников.</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Игры с песком и водой как средство познавательного развития детей среднего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Организация коллективной деятельности воспитанников в образовательном учреждении.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Особенности деятельности воспитателя по развитию у старших дошкольников мелкой моторики.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Использование метода проектов как психолого-педагогическое условие развития навыков общения старших дошкольников со сверстниками.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Психолого-педагогические условия развития ситуативно-делового общения дошкольников со сверстниками в процессе игровой деятельности.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Психолого-педагогические основы организации бесконфликтного общения детей и обучения эффективным способам разрешения конфликтов.</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Психолого-педагогические условия формирования навыков разрешения конфликтных ситуаций в процессе общения старших дошкольников со сверстниками.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Психолого-педагогические условия формирования творческих способностей у детей дошкольного возраста.</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 xml:space="preserve">Психолого-педагогические условия организации </w:t>
      </w:r>
      <w:proofErr w:type="spellStart"/>
      <w:r w:rsidRPr="006905D4">
        <w:rPr>
          <w:sz w:val="26"/>
          <w:szCs w:val="26"/>
        </w:rPr>
        <w:t>диагностико</w:t>
      </w:r>
      <w:proofErr w:type="spellEnd"/>
      <w:r w:rsidRPr="006905D4">
        <w:rPr>
          <w:sz w:val="26"/>
          <w:szCs w:val="26"/>
        </w:rPr>
        <w:t>-коррекционной работы с дошкольниками, испытывающими трудности в общении со сверстниками.</w:t>
      </w:r>
    </w:p>
    <w:p w:rsidR="006905D4" w:rsidRPr="006905D4" w:rsidRDefault="006905D4" w:rsidP="006905D4">
      <w:pPr>
        <w:pStyle w:val="20"/>
        <w:numPr>
          <w:ilvl w:val="0"/>
          <w:numId w:val="11"/>
        </w:numPr>
        <w:tabs>
          <w:tab w:val="left" w:pos="866"/>
        </w:tabs>
        <w:spacing w:before="0" w:line="240" w:lineRule="auto"/>
        <w:ind w:left="-142"/>
        <w:rPr>
          <w:sz w:val="26"/>
          <w:szCs w:val="26"/>
        </w:rPr>
      </w:pPr>
      <w:r w:rsidRPr="006905D4">
        <w:rPr>
          <w:sz w:val="26"/>
          <w:szCs w:val="26"/>
        </w:rPr>
        <w:t>Психолого-педагогические условия руководства игровой деятельностью детей.</w:t>
      </w:r>
    </w:p>
    <w:p w:rsidR="00A240B6" w:rsidRDefault="006905D4" w:rsidP="006905D4">
      <w:pPr>
        <w:pStyle w:val="20"/>
        <w:numPr>
          <w:ilvl w:val="0"/>
          <w:numId w:val="11"/>
        </w:numPr>
        <w:tabs>
          <w:tab w:val="left" w:pos="866"/>
        </w:tabs>
        <w:spacing w:before="0" w:line="240" w:lineRule="auto"/>
        <w:ind w:left="-142"/>
      </w:pPr>
      <w:r w:rsidRPr="006905D4">
        <w:rPr>
          <w:sz w:val="26"/>
          <w:szCs w:val="26"/>
        </w:rPr>
        <w:t>Психолого-педагогические условия организации самостоятельной игровой деятельности детей.</w:t>
      </w:r>
    </w:p>
    <w:sectPr w:rsidR="00A240B6" w:rsidSect="00BF6D5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722ED"/>
    <w:multiLevelType w:val="hybridMultilevel"/>
    <w:tmpl w:val="10805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8"/>
  </w:num>
  <w:num w:numId="5">
    <w:abstractNumId w:val="10"/>
  </w:num>
  <w:num w:numId="6">
    <w:abstractNumId w:val="7"/>
  </w:num>
  <w:num w:numId="7">
    <w:abstractNumId w:val="3"/>
  </w:num>
  <w:num w:numId="8">
    <w:abstractNumId w:val="5"/>
  </w:num>
  <w:num w:numId="9">
    <w:abstractNumId w:val="4"/>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1E7435"/>
    <w:rsid w:val="00230773"/>
    <w:rsid w:val="002F3129"/>
    <w:rsid w:val="00367720"/>
    <w:rsid w:val="00395D18"/>
    <w:rsid w:val="003966B7"/>
    <w:rsid w:val="00430BC7"/>
    <w:rsid w:val="00501CB8"/>
    <w:rsid w:val="00547A9B"/>
    <w:rsid w:val="0056489B"/>
    <w:rsid w:val="0057384E"/>
    <w:rsid w:val="00661522"/>
    <w:rsid w:val="006905D4"/>
    <w:rsid w:val="006C6821"/>
    <w:rsid w:val="008D4AFF"/>
    <w:rsid w:val="009B155D"/>
    <w:rsid w:val="009D6B3E"/>
    <w:rsid w:val="00A240B6"/>
    <w:rsid w:val="00A40DA5"/>
    <w:rsid w:val="00A42DDE"/>
    <w:rsid w:val="00A55D7C"/>
    <w:rsid w:val="00AB40F0"/>
    <w:rsid w:val="00B7242D"/>
    <w:rsid w:val="00BE72A7"/>
    <w:rsid w:val="00BF6D54"/>
    <w:rsid w:val="00EC6446"/>
    <w:rsid w:val="00FA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D54C-1366-41A0-97DC-7D96970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3215</Words>
  <Characters>18331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PC-1</cp:lastModifiedBy>
  <cp:revision>29</cp:revision>
  <cp:lastPrinted>2019-03-28T11:30:00Z</cp:lastPrinted>
  <dcterms:created xsi:type="dcterms:W3CDTF">2019-03-23T05:51:00Z</dcterms:created>
  <dcterms:modified xsi:type="dcterms:W3CDTF">2021-12-06T12:26:00Z</dcterms:modified>
</cp:coreProperties>
</file>